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Осенний семестр </w:t>
      </w:r>
      <w:r>
        <w:rPr>
          <w:b w:val="1"/>
          <w:bCs w:val="1"/>
          <w:sz w:val="20"/>
          <w:szCs w:val="20"/>
          <w:rtl w:val="0"/>
          <w:lang w:val="ru-RU"/>
        </w:rPr>
        <w:t xml:space="preserve">2023-2024 </w:t>
      </w:r>
      <w:r>
        <w:rPr>
          <w:b w:val="1"/>
          <w:bCs w:val="1"/>
          <w:sz w:val="20"/>
          <w:szCs w:val="20"/>
          <w:rtl w:val="0"/>
          <w:lang w:val="ru-RU"/>
        </w:rPr>
        <w:t>учебного года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Образовательная программа </w:t>
      </w: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12301 </w:t>
      </w:r>
      <w:r>
        <w:rPr>
          <w:b w:val="1"/>
          <w:bCs w:val="1"/>
          <w:sz w:val="20"/>
          <w:szCs w:val="20"/>
          <w:rtl w:val="0"/>
          <w:lang w:val="ru-RU"/>
        </w:rPr>
        <w:t>– «Правоохранительная деятельность»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5"/>
        <w:gridCol w:w="1137"/>
        <w:gridCol w:w="886"/>
        <w:gridCol w:w="884"/>
        <w:gridCol w:w="1010"/>
        <w:gridCol w:w="632"/>
        <w:gridCol w:w="1263"/>
        <w:gridCol w:w="2022"/>
      </w:tblGrid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023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5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кредитов </w:t>
            </w:r>
          </w:p>
        </w:tc>
        <w:tc>
          <w:tcPr>
            <w:tcW w:type="dxa" w:w="12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2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под руководством преподавателя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50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3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1108; POPK 1111; POPK 2106; POPK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Правовые основы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</w:p>
        </w:tc>
        <w:tc>
          <w:tcPr>
            <w:tcW w:type="dxa" w:w="202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clear" w:color="auto" w:fill="ffffff"/>
                <w:rtl w:val="0"/>
                <w:lang w:val="ru-RU"/>
              </w:rPr>
              <w:t>7</w:t>
            </w:r>
          </w:p>
        </w:tc>
        <w:tc>
          <w:tcPr>
            <w:tcW w:type="dxa" w:w="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1,70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3.30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Цикл базовыых дисциплин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вузовый компонент</w:t>
            </w:r>
          </w:p>
        </w:tc>
        <w:tc>
          <w:tcPr>
            <w:tcW w:type="dxa" w:w="17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 задач</w:t>
            </w:r>
          </w:p>
        </w:tc>
        <w:tc>
          <w:tcPr>
            <w:tcW w:type="dxa" w:w="32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Система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Лектор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старший преподаватель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87011002284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Ергали Адлет Маратұлы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2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25" w:lineRule="exact"/>
              <w:ind w:left="1852" w:firstLine="0"/>
            </w:pP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"mailto:yergali.adlet@gmail.com"</w:instrText>
            </w:r>
            <w:r>
              <w:rPr>
                <w:rStyle w:val="Hyperlink.1"/>
                <w:sz w:val="22"/>
                <w:szCs w:val="22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y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ergali.adlet@gmail.com</w:t>
            </w:r>
            <w:r>
              <w:rPr/>
              <w:fldChar w:fldCharType="end" w:fldLock="0"/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+77017377763</w:t>
            </w:r>
          </w:p>
        </w:tc>
        <w:tc>
          <w:tcPr>
            <w:tcW w:type="dxa" w:w="32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54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)*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Ознакомить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студентов с действующей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антикоррупционной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политикой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основными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коррупционными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преступными правонарушени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совершаемыми в стране и</w:t>
              <w:tab/>
              <w:t xml:space="preserve"> мерами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противодействия им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Кроме того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студенты изучают на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курсах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зарубежный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опыт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коррупции и деятельность международных антикоррупционных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когнитивный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Понимать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что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такое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представлять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ее негативные 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Понимание сущности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33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Представление  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негативных последствий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8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Иметь представление об основных коррупционных правонарушениях и виды ответственности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Знание</w:t>
              <w:tab/>
              <w:t>коррупционных</w:t>
            </w:r>
          </w:p>
          <w:p>
            <w:pPr>
              <w:pStyle w:val="Normal.0"/>
              <w:widowControl w:val="0"/>
              <w:tabs>
                <w:tab w:val="left" w:pos="1448"/>
                <w:tab w:val="left" w:pos="3324"/>
              </w:tabs>
              <w:bidi w:val="0"/>
              <w:spacing w:line="230" w:lineRule="atLeast"/>
              <w:ind w:left="110" w:right="104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уголовных</w:t>
              <w:tab/>
              <w:t>правонарушений</w:t>
              <w:tab/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санкции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pacing w:val="0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Разграничение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уголовные от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административных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Ориентироваться</w:t>
              <w:tab/>
              <w:t>в основных мера 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Классификация</w:t>
              <w:tab/>
              <w:t>мер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Ориентирование в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нормативных правовых актах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касающихся</w:t>
              <w:tab/>
              <w:t xml:space="preserve">вопросов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Анализировать основные причины совершения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Определение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основных причин совершения коррупции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14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Предложение</w:t>
              <w:tab/>
              <w:t>мер</w:t>
              <w:tab/>
              <w:t xml:space="preserve">по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Знать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противодействия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5.1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Иметь</w:t>
              <w:tab/>
              <w:t>представление</w:t>
              <w:tab/>
              <w:t>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деятельности международных организаций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роли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9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Анализировать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национальное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законодательство</w:t>
              <w:tab/>
              <w:t>с</w:t>
              <w:tab/>
              <w:t>зарубежным законодательством</w:t>
              <w:tab/>
              <w:t>по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вопросам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противодействия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UPRK 2205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 UPRK2212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особенная части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Krim 3214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PORK1202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OKUP3220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квалификации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TSD 4305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Теория судебных доказательств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PN 4304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APRK3219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Адвокатское право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45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Учебные ресурсы</w:t>
            </w:r>
          </w:p>
        </w:tc>
        <w:tc>
          <w:tcPr>
            <w:tcW w:type="dxa" w:w="78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bidi w:val="0"/>
              <w:spacing w:line="225" w:lineRule="exact"/>
              <w:ind w:right="0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Уголовное кодекс РК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3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июля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ЮРИСТ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2022.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208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20" w:line="254" w:lineRule="auto"/>
              <w:ind w:right="94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Комментарий к Уголовному кодексу Республики Казахстан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Под 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Даулбаева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Алматы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 2015.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- 500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2" w:line="254" w:lineRule="auto"/>
              <w:ind w:right="98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составители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Межведилов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Бакулина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Антонов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Талан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Виноградова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Гильфанова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изд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Казань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2016. - 192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2"/>
              </w:numPr>
              <w:bidi w:val="0"/>
              <w:spacing w:before="3" w:line="256" w:lineRule="auto"/>
              <w:ind w:right="101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Основы антикоррупционной культуры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учебное пособие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общей редакцией руководил 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профессор 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Абдрасилов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Астана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Академия государственного управления при Президенте Республики 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2016. - 176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3"/>
              </w:numPr>
              <w:bidi w:val="0"/>
              <w:ind w:right="102"/>
              <w:jc w:val="both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Противостояние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новые вызовы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Б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Иванов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Чиханчин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[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 др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.];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ред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Хабриева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Институт законодательства и сравнительного права При Правительстве Российской 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ИНФРА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2016. - 384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Пименов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Обеспечение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2018. -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238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Годунов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Противодействие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Учебник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– 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., 2019. - 730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Интернет ресурсы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:</w:t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"http://elibrary.kaznu.kz/ru"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http://elibrary.kaznu.kz/ru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"https://www.gov.kz/memleket/entities/anticorruption?lang=kk"</w:instrText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FF"/>
                  </w14:solidFill>
                </w14:textFill>
              </w:rPr>
              <w:t>https://www.gov.kz/memleket/entities/anticorruption?lang=kk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  <w:p>
            <w:pPr>
              <w:pStyle w:val="Normal.0"/>
              <w:widowControl w:val="0"/>
              <w:numPr>
                <w:ilvl w:val="0"/>
                <w:numId w:val="5"/>
              </w:numPr>
              <w:bidi w:val="0"/>
              <w:ind w:right="1547"/>
              <w:jc w:val="left"/>
              <w:rPr>
                <w:sz w:val="20"/>
                <w:szCs w:val="2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https://</w: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instrText xml:space="preserve"> HYPERLINK "http://www.transparency.org/"</w:instrText>
            </w:r>
            <w:r>
              <w:rPr>
                <w:rStyle w:val="Hyperlink.4"/>
                <w:sz w:val="20"/>
                <w:szCs w:val="20"/>
                <w:shd w:val="nil" w:color="auto" w:fill="auto"/>
                <w:lang w:val="ru-RU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www.transparency.org/</w:t>
            </w:r>
            <w:r>
              <w:rPr>
                <w:sz w:val="20"/>
                <w:szCs w:val="20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76" w:lineRule="auto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4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7132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252590%2525D0%2525BA%2525D0%2525B0%2525D0%2525B4%2525D0%2525B5%2525D0%2525BC%2525D0%2525B8%2525D1%252587%2525D0%2525B5%2525D1%252581%2525D0%2525BA%2525D0%2525B0%2525D1%25258F%252520%2525D0%2525BF%2525D0%2525BE%2525D0%2525BB%2525D0%2525B8%2525D1%252582%2525D0%2525B8%2525D0%2525BA%2525D0%2525B0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0%2525BE%2525D0%2525BB%2525D0%2525B8%2525D1%252582%2525D0%2525B8%2525D0%2525BA%2525D0%2525B0%252520%2525D0%2525B0%2525D0%2525BA%2525D0%2525B0%2525D0%2525B4%2525D0%2525B5%2525D0%2525BC%2525D0%2525B8%2525D1%252587%2525D0%2525B5%2525D1%252581%2525D0%2525BA%2525D0%2525BE%2525D0%2525B9%252520%2525D1%252587%2525D0%2525B5%2525D1%252581%2525D1%252582%2525D0%2525BD%2525D0%2525BE%2525D1%252581%2525D1%252582%2525D0%2525B8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F%2525D1%252580%2525D0%2525B0%2525D0%2525B2%2525D0%2525B8%2525D0%2525BB%2525D0%2525B0%252520%2525D0%2525BF%2525D1%252580%2525D0%2525BE%2525D0%2525B2%2525D0%2525B5%2525D0%2525B4%2525D0%2525B5%2525D0%2525BD%2525D0%2525B8%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25259B%2525D0%2525AD%2525D0%2525A1%2525202022-2023%252520%2525D1%252583%2525D1%252587%2525D0%2525B3%2525D0%2525BE%2525D0%2525B4%252520%2525D1%252580%2525D1%252583%2525D1%252581%2525D1%25258F%2525D0%2525B7%2525D1%25258B%2525D0%2525BA%2525D0%2525B5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2525D0%252598%2525D0%2525BD%2525D1%252581%2525D1%252582%2525D1%252580%2525D1%252583%2525D0%2525BA%2525D1%252586%2525D0%2525B8%2525D1%25258F%252520%2525D0%2525B4%2525D0%2525BB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B2%2525D0%2525B5%2525D1%252581%2525D0%2525B5%2525D0%2525BD%2525D0%2525BD%2525D0%2525B5%2525D0%2525B3%2525D0%2525BE%252520%2525D1%252581%2525D0%2525B5%2525D0%2525BC%2525D0%2525B5%2525D1%252581%2525D1%252582%2525D1%252580%2525D0%2525B0%2525202022-2023.pdf"</w:instrTex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Hyperlink.2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aselya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sharipova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49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Hyperlink.4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3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содержание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19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37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8"/>
                <w:szCs w:val="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1"/>
        <w:gridCol w:w="8050"/>
        <w:gridCol w:w="861"/>
        <w:gridCol w:w="725"/>
      </w:tblGrid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Антикоррупционная политика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Понятие коррупции и ее правовые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последствия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СЗ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Цель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основныепринципы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действия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 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История развития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  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советское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время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Хуан  Ю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борьбе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 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Консультация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63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СРС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1</w:t>
            </w:r>
            <w:r>
              <w:rPr>
                <w:rStyle w:val="Нет"/>
                <w:spacing w:val="71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66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70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«Антикоррупционная политика»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политика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проводимая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Республике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Нормативные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правовые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акты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регламентирующие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вопросы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презентация «Антикоррупционная</w:t>
            </w:r>
            <w:r>
              <w:rPr>
                <w:rStyle w:val="Нет"/>
                <w:spacing w:val="0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политика»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Субъекты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антикоррупционной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Взаимодействие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государственных органов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выполнению СРО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 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служба 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участие общественности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противодействия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общественного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контроля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культура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служба»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Виды коррупционных уголовных правонарушений 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наказания за их совершение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Квалификация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 правонарушений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профилактике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Виктимология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Антикоррупционная стратегия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Республики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Казахстан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10" w:lineRule="exact"/>
              <w:ind w:left="110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«Деятельность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Transparency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International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50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II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 коррупции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Сингапурский опыт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Сингапуре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 предупреждению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Сингапуре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«Международный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Опыт Грузии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 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Грузии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Грузии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Китая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 коррупционных преступлений 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-5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«Международные</w:t>
            </w:r>
            <w:r>
              <w:rPr>
                <w:rStyle w:val="Нет"/>
                <w:spacing w:val="-7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организации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противодействующие коррупции»</w:t>
            </w:r>
            <w:r>
              <w:rPr>
                <w:rStyle w:val="Нет"/>
                <w:sz w:val="20"/>
                <w:szCs w:val="20"/>
                <w:u w:color="ff000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США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Канады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 коррупционные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Китае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 коррупционных преступлений в Китае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Японии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Великобритании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Великобритании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Великобритании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6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ООН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Финляндии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противодействии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 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совершение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уголовных правонарушений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рубежом»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Опыт Российской Федерации по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противодействию коррупции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Ответственность за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преступления в Российской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Федерации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Меры по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предупреждению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коррупционных преступлений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Финляндии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Консультация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выполнению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тему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ООН 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международных антикоррупционных 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Роль международных антикоррупционных организаций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 «Роль ООН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борьбе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коррупцией»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ind w:left="108" w:hanging="108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276"/>
        </w:tabs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jc w:val="both"/>
        <w:rPr>
          <w:rStyle w:val="eop"/>
          <w:sz w:val="20"/>
          <w:szCs w:val="20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Декан                                                                                                                              Байдельдинов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Л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                                                                        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after="12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Лектор                                                                                                                            Абдрахманов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С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РУБРИКАТОР СУММАТИВНОГО ОЦЕНИВАНИЯ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 по желанию преподавателя для каждого запланированного суммативного оценивания 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paragraph"/>
        <w:spacing w:before="0" w:after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ШАБЛОН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Normal.0"/>
        <w:tabs>
          <w:tab w:val="left" w:pos="1276"/>
        </w:tabs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Название задания</w:t>
      </w:r>
      <w:r>
        <w:rPr>
          <w:rStyle w:val="Нет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баллы</w:t>
      </w:r>
      <w:r>
        <w:rPr>
          <w:rStyle w:val="Нет"/>
          <w:sz w:val="20"/>
          <w:szCs w:val="20"/>
          <w:rtl w:val="0"/>
          <w:lang w:val="ru-RU"/>
        </w:rPr>
        <w:t xml:space="preserve">, % </w:t>
      </w:r>
      <w:r>
        <w:rPr>
          <w:rStyle w:val="Нет"/>
          <w:sz w:val="20"/>
          <w:szCs w:val="20"/>
          <w:rtl w:val="0"/>
          <w:lang w:val="ru-RU"/>
        </w:rPr>
        <w:t xml:space="preserve">содержание от </w:t>
      </w:r>
      <w:r>
        <w:rPr>
          <w:rStyle w:val="Нет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sz w:val="20"/>
          <w:szCs w:val="20"/>
          <w:rtl w:val="0"/>
          <w:lang w:val="ru-RU"/>
        </w:rPr>
        <w:t>РК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 xml:space="preserve">копировать из календаря 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графика</w:t>
      </w:r>
      <w:r>
        <w:rPr>
          <w:rStyle w:val="Нет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реализации содержания дисциплины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>методы преподавания и обучения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tbl>
      <w:tblPr>
        <w:tblW w:w="148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5"/>
        <w:gridCol w:w="3105"/>
        <w:gridCol w:w="3255"/>
        <w:gridCol w:w="39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Письменное задание «Моя профессиональная история»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(25%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1483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3"/>
        <w:gridCol w:w="2803"/>
        <w:gridCol w:w="2657"/>
        <w:gridCol w:w="3503"/>
        <w:gridCol w:w="3360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20-25 %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 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10-15%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0-10%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концепций профессиональной идентичности и профессионализма педагога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соответствующие и релевантные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ограниченные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 предоставляются соответствующие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цитаты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6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Хорошо связывает ключевые понятия профессиональной идентичности и профессионализма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Связывает концепции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Подкрепляет аргументы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связь концепций профессиональной идентичности и профессионализма учителей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или отсутствуют связь концепций профессиональной идентичности учителя с контекстом Казахстана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использует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00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практические 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грамотные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правильность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Строго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корректность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основном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APA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письме есть некоторые ключевые ошибки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ясность нуждается в улучшении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Есть ошибки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Написанное неясно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трудно следовать за содержанием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Много ошибок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   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Групповая презентация «Профессия учителя в Казахстане» 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93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7"/>
        <w:gridCol w:w="1873"/>
        <w:gridCol w:w="1793"/>
        <w:gridCol w:w="1980"/>
        <w:gridCol w:w="2166"/>
      </w:tblGrid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44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Присутствует связь концепций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Аргументы подкреплены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соотношение профессиональной идентичности учителя и концепций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связь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связи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используются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76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 исследование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Хорошее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Удовлетворительное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Плохое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практических 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Предлагает очень хорошую политику 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Hyperlink.4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привлекательная презентация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отличное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 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Хорошая вовлеченность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хорошее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 или других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хороший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Низкий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плохой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ind w:left="108" w:hanging="108"/>
        <w:rPr>
          <w:rStyle w:val="Нет"/>
          <w:sz w:val="20"/>
          <w:szCs w:val="20"/>
        </w:rPr>
      </w:pPr>
    </w:p>
    <w:p>
      <w:pPr>
        <w:pStyle w:val="paragraph"/>
        <w:widowControl w:val="0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</w:pPr>
      <w:r>
        <w:rPr>
          <w:rStyle w:val="eop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568" w:right="850" w:bottom="1418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47"/>
        </w:tabs>
        <w:ind w:left="446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47"/>
        </w:tabs>
        <w:ind w:left="10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47"/>
        </w:tabs>
        <w:ind w:left="17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47"/>
        </w:tabs>
        <w:ind w:left="24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47"/>
        </w:tabs>
        <w:ind w:left="321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47"/>
        </w:tabs>
        <w:ind w:left="393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47"/>
        </w:tabs>
        <w:ind w:left="465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47"/>
        </w:tabs>
        <w:ind w:left="537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47"/>
        </w:tabs>
        <w:ind w:left="6093" w:hanging="33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3" w:hanging="21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446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7" w:hanging="3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47"/>
          </w:tabs>
          <w:ind w:left="3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47"/>
          </w:tabs>
          <w:ind w:left="10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47"/>
          </w:tabs>
          <w:ind w:left="17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47"/>
          </w:tabs>
          <w:ind w:left="24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47"/>
          </w:tabs>
          <w:ind w:left="321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47"/>
          </w:tabs>
          <w:ind w:left="393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47"/>
          </w:tabs>
          <w:ind w:left="465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47"/>
          </w:tabs>
          <w:ind w:left="537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47"/>
          </w:tabs>
          <w:ind w:left="6096" w:hanging="2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z w:val="22"/>
      <w:szCs w:val="22"/>
      <w:shd w:val="nil" w:color="auto" w:fill="auto"/>
      <w:lang w:val="ru-RU"/>
      <w14:textOutline w14:w="12700" w14:cap="flat">
        <w14:noFill/>
        <w14:miter w14:lim="400000"/>
      </w14:textOutline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ru-RU"/>
      <w14:textFill>
        <w14:solidFill>
          <w14:srgbClr w14:val="0000FF"/>
        </w14:solidFill>
      </w14:textFill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shd w:val="nil" w:color="auto" w:fill="auto"/>
      <w:lang w:val="ru-RU"/>
    </w:rPr>
  </w:style>
  <w:style w:type="character" w:styleId="eop">
    <w:name w:val="eop"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